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435147" w:rsidRPr="00DE0A86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04295C" w:rsidP="0004295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BPaaS Execution</w:t>
            </w:r>
            <w:r w:rsidR="00D45D83">
              <w:rPr>
                <w:rFonts w:ascii="Arial" w:hAnsi="Arial" w:cs="Arial"/>
                <w:lang w:val="en-GB"/>
              </w:rPr>
              <w:t xml:space="preserve">: </w:t>
            </w:r>
            <w:r>
              <w:rPr>
                <w:rFonts w:ascii="Arial" w:hAnsi="Arial" w:cs="Arial"/>
                <w:lang w:val="en-GB"/>
              </w:rPr>
              <w:t>Execution of BPaaS bundles</w:t>
            </w:r>
          </w:p>
        </w:tc>
      </w:tr>
      <w:tr w:rsidR="00435147" w:rsidRPr="00DE0A86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35147" w:rsidRDefault="00DE0A8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main p</w:t>
            </w:r>
            <w:r w:rsidR="00D45D83">
              <w:rPr>
                <w:rFonts w:ascii="Arial" w:hAnsi="Arial" w:cs="Arial"/>
                <w:lang w:val="en-GB"/>
              </w:rPr>
              <w:t xml:space="preserve">articipants </w:t>
            </w:r>
            <w:r>
              <w:rPr>
                <w:rFonts w:ascii="Arial" w:hAnsi="Arial" w:cs="Arial"/>
                <w:lang w:val="en-GB"/>
              </w:rPr>
              <w:t>are c</w:t>
            </w:r>
            <w:r w:rsidR="0004295C">
              <w:rPr>
                <w:rFonts w:ascii="Arial" w:hAnsi="Arial" w:cs="Arial"/>
                <w:lang w:val="en-GB"/>
              </w:rPr>
              <w:t>ustomers (SMEs)</w:t>
            </w:r>
            <w:r w:rsidR="00B35C64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that </w:t>
            </w:r>
            <w:r w:rsidR="00D45D83">
              <w:rPr>
                <w:rFonts w:ascii="Arial" w:hAnsi="Arial" w:cs="Arial"/>
                <w:lang w:val="en-GB"/>
              </w:rPr>
              <w:t xml:space="preserve">want to get </w:t>
            </w:r>
            <w:r w:rsidR="0004295C">
              <w:rPr>
                <w:rFonts w:ascii="Arial" w:hAnsi="Arial" w:cs="Arial"/>
                <w:lang w:val="en-GB"/>
              </w:rPr>
              <w:t>see how to use the purchased bundles</w:t>
            </w:r>
            <w:r w:rsidR="00D45D83">
              <w:rPr>
                <w:rFonts w:ascii="Arial" w:hAnsi="Arial" w:cs="Arial"/>
                <w:lang w:val="en-GB"/>
              </w:rPr>
              <w:t>, and</w:t>
            </w:r>
            <w:r w:rsidR="00054E17">
              <w:rPr>
                <w:rFonts w:ascii="Arial" w:hAnsi="Arial" w:cs="Arial"/>
                <w:lang w:val="en-GB"/>
              </w:rPr>
              <w:t xml:space="preserve"> how to configure </w:t>
            </w:r>
            <w:r>
              <w:rPr>
                <w:rFonts w:ascii="Arial" w:hAnsi="Arial" w:cs="Arial"/>
                <w:lang w:val="en-GB"/>
              </w:rPr>
              <w:t xml:space="preserve">the environment in order to orchestrate the </w:t>
            </w:r>
            <w:r w:rsidR="0004295C">
              <w:rPr>
                <w:rFonts w:ascii="Arial" w:hAnsi="Arial" w:cs="Arial"/>
                <w:lang w:val="en-GB"/>
              </w:rPr>
              <w:t xml:space="preserve">third </w:t>
            </w:r>
            <w:r w:rsidR="00054E17">
              <w:rPr>
                <w:rFonts w:ascii="Arial" w:hAnsi="Arial" w:cs="Arial"/>
                <w:lang w:val="en-GB"/>
              </w:rPr>
              <w:t xml:space="preserve">parties </w:t>
            </w:r>
            <w:r>
              <w:rPr>
                <w:rFonts w:ascii="Arial" w:hAnsi="Arial" w:cs="Arial"/>
                <w:lang w:val="en-GB"/>
              </w:rPr>
              <w:t>services in the cloud.</w:t>
            </w:r>
          </w:p>
          <w:p w:rsidR="00B35C64" w:rsidRPr="005860E3" w:rsidRDefault="00B35C64" w:rsidP="00054E1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This presentation should </w:t>
            </w:r>
            <w:r w:rsidR="00054E17">
              <w:rPr>
                <w:rFonts w:ascii="Arial" w:hAnsi="Arial" w:cs="Arial"/>
                <w:lang w:val="en-GB"/>
              </w:rPr>
              <w:t xml:space="preserve">clarify and help </w:t>
            </w:r>
            <w:r>
              <w:rPr>
                <w:rFonts w:ascii="Arial" w:hAnsi="Arial" w:cs="Arial"/>
                <w:lang w:val="en-GB"/>
              </w:rPr>
              <w:t xml:space="preserve">the audience </w:t>
            </w:r>
            <w:r w:rsidR="00054E17">
              <w:rPr>
                <w:rFonts w:ascii="Arial" w:hAnsi="Arial" w:cs="Arial"/>
                <w:lang w:val="en-GB"/>
              </w:rPr>
              <w:t>for using the BPaaS bundles and their configuration.</w:t>
            </w: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DE0A86" w:rsidTr="00680D23">
        <w:tc>
          <w:tcPr>
            <w:tcW w:w="9212" w:type="dxa"/>
          </w:tcPr>
          <w:p w:rsidR="00435147" w:rsidRPr="005860E3" w:rsidRDefault="00D45D83" w:rsidP="00054E1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The participants </w:t>
            </w:r>
            <w:r w:rsidR="00054E17">
              <w:rPr>
                <w:rFonts w:ascii="Arial" w:hAnsi="Arial" w:cs="Arial"/>
                <w:u w:val="single"/>
                <w:lang w:val="en-GB"/>
              </w:rPr>
              <w:t>understand how to use the purchased BPaaS bundles.</w:t>
            </w:r>
          </w:p>
        </w:tc>
      </w:tr>
      <w:tr w:rsidR="000F261C" w:rsidRPr="00DE0A86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DE0A86" w:rsidTr="00680D23">
        <w:tc>
          <w:tcPr>
            <w:tcW w:w="9212" w:type="dxa"/>
          </w:tcPr>
          <w:p w:rsidR="00D45D83" w:rsidRPr="005860E3" w:rsidRDefault="00DE0A86" w:rsidP="00054E1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how to orchestrate Cloud services</w:t>
            </w:r>
          </w:p>
        </w:tc>
      </w:tr>
      <w:tr w:rsidR="00D45D83" w:rsidRPr="00DE0A86" w:rsidTr="00680D23">
        <w:tc>
          <w:tcPr>
            <w:tcW w:w="9212" w:type="dxa"/>
          </w:tcPr>
          <w:p w:rsidR="00D45D83" w:rsidRPr="00DE0A86" w:rsidRDefault="00DE0A86" w:rsidP="00054E17">
            <w:pPr>
              <w:ind w:left="7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Participants get the execution of the BPaaS bundles</w:t>
            </w:r>
          </w:p>
        </w:tc>
      </w:tr>
      <w:tr w:rsidR="00D45D83" w:rsidRPr="00DE0A86" w:rsidTr="00680D23">
        <w:tc>
          <w:tcPr>
            <w:tcW w:w="9212" w:type="dxa"/>
          </w:tcPr>
          <w:p w:rsidR="00D45D83" w:rsidRPr="005860E3" w:rsidRDefault="00DE0A86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introduced to BPaaS execution</w:t>
            </w:r>
          </w:p>
        </w:tc>
      </w:tr>
      <w:tr w:rsidR="00D45D83" w:rsidRPr="00DE0A86" w:rsidTr="00680D23">
        <w:tc>
          <w:tcPr>
            <w:tcW w:w="9212" w:type="dxa"/>
          </w:tcPr>
          <w:p w:rsidR="00D45D83" w:rsidRPr="005860E3" w:rsidRDefault="00DE0A86" w:rsidP="00DE0A86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</w:t>
            </w:r>
            <w:r>
              <w:rPr>
                <w:rFonts w:ascii="Arial" w:hAnsi="Arial" w:cs="Arial"/>
                <w:lang w:val="en-GB"/>
              </w:rPr>
              <w:t>how to use and configure the Workflow Engine</w:t>
            </w:r>
          </w:p>
        </w:tc>
      </w:tr>
      <w:tr w:rsidR="00D45D83" w:rsidRPr="00DE0A86" w:rsidTr="0018026C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DE0A86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DE0A86" w:rsidRPr="00DE0A86" w:rsidTr="00680D23">
        <w:tc>
          <w:tcPr>
            <w:tcW w:w="9212" w:type="dxa"/>
          </w:tcPr>
          <w:p w:rsidR="00DE0A86" w:rsidRPr="005860E3" w:rsidRDefault="00DE0A86" w:rsidP="00C56A36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DE0A86" w:rsidRPr="00DE0A86" w:rsidTr="00680D23">
        <w:tc>
          <w:tcPr>
            <w:tcW w:w="9212" w:type="dxa"/>
          </w:tcPr>
          <w:p w:rsidR="00DE0A86" w:rsidRPr="005860E3" w:rsidRDefault="00DE0A86" w:rsidP="00C56A36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DE0A86" w:rsidRPr="00DE0A86" w:rsidTr="00680D23">
        <w:tc>
          <w:tcPr>
            <w:tcW w:w="9212" w:type="dxa"/>
          </w:tcPr>
          <w:p w:rsidR="00DE0A86" w:rsidRPr="005860E3" w:rsidRDefault="00DE0A86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DE0A86" w:rsidRPr="00DE0A86" w:rsidTr="00680D23">
        <w:tc>
          <w:tcPr>
            <w:tcW w:w="9212" w:type="dxa"/>
          </w:tcPr>
          <w:p w:rsidR="00DE0A86" w:rsidRPr="005860E3" w:rsidRDefault="00DE0A86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458"/>
        <w:gridCol w:w="2340"/>
        <w:gridCol w:w="2160"/>
        <w:gridCol w:w="6294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DE0A86" w:rsidTr="004E58CA">
        <w:trPr>
          <w:trHeight w:val="777"/>
        </w:trPr>
        <w:tc>
          <w:tcPr>
            <w:tcW w:w="1250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58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40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2F6378" w:rsidRPr="005860E3" w:rsidRDefault="00DE0A8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F75E4E" w:rsidRDefault="00F75E4E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75E4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Introduce the main reasons for adopting business processes; situating where the execution phase is included and the different parts of the BPaaS bundle. </w:t>
            </w:r>
          </w:p>
          <w:p w:rsidR="00F75E4E" w:rsidRPr="005860E3" w:rsidRDefault="00F75E4E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Handover to the demonstration</w:t>
            </w:r>
          </w:p>
        </w:tc>
      </w:tr>
      <w:tr w:rsidR="009449AA" w:rsidRPr="00F75E4E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58" w:type="dxa"/>
          </w:tcPr>
          <w:p w:rsidR="009449AA" w:rsidRPr="005860E3" w:rsidRDefault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Demonstration based on Sending Invoice bundle</w:t>
            </w:r>
          </w:p>
        </w:tc>
        <w:tc>
          <w:tcPr>
            <w:tcW w:w="2340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F75E4E" w:rsidRPr="005860E3" w:rsidRDefault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 deliverables, Workflow Engine, videos of demo</w:t>
            </w:r>
          </w:p>
        </w:tc>
        <w:tc>
          <w:tcPr>
            <w:tcW w:w="6294" w:type="dxa"/>
          </w:tcPr>
          <w:p w:rsidR="00D45D83" w:rsidRDefault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Introduction of the Invoicing BPaaS demonstration for the Golden Worm Start-up.</w:t>
            </w:r>
          </w:p>
          <w:p w:rsidR="00F75E4E" w:rsidRDefault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Reference to other trainings such as the deployment or the marketplace,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if the participants want to know more about these topics.</w:t>
            </w:r>
          </w:p>
          <w:p w:rsidR="00F75E4E" w:rsidRDefault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Explanation of :</w:t>
            </w:r>
          </w:p>
          <w:p w:rsidR="00F75E4E" w:rsidRPr="00F75E4E" w:rsidRDefault="00F75E4E" w:rsidP="00F75E4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5E4E">
              <w:rPr>
                <w:rFonts w:ascii="Arial" w:hAnsi="Arial" w:cs="Arial"/>
                <w:sz w:val="22"/>
                <w:szCs w:val="22"/>
                <w:lang w:val="en-GB"/>
              </w:rPr>
              <w:t xml:space="preserve">The different steps necessaries to configure the WFE and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purchased </w:t>
            </w:r>
            <w:r w:rsidRPr="00F75E4E">
              <w:rPr>
                <w:rFonts w:ascii="Arial" w:hAnsi="Arial" w:cs="Arial"/>
                <w:sz w:val="22"/>
                <w:szCs w:val="22"/>
                <w:lang w:val="en-GB"/>
              </w:rPr>
              <w:t>bundle.</w:t>
            </w:r>
          </w:p>
          <w:p w:rsidR="00F75E4E" w:rsidRPr="00F75E4E" w:rsidRDefault="00F75E4E" w:rsidP="00F75E4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</w:t>
            </w:r>
            <w:r w:rsidRPr="00F75E4E">
              <w:rPr>
                <w:rFonts w:ascii="Arial" w:hAnsi="Arial" w:cs="Arial"/>
                <w:sz w:val="22"/>
                <w:szCs w:val="22"/>
                <w:lang w:val="en-GB"/>
              </w:rPr>
              <w:t xml:space="preserve"> to instantiate the bundle and execute the user tasks.</w:t>
            </w:r>
          </w:p>
        </w:tc>
      </w:tr>
      <w:tr w:rsidR="009449AA" w:rsidRPr="0004295C" w:rsidTr="00F75E4E">
        <w:trPr>
          <w:trHeight w:val="954"/>
        </w:trPr>
        <w:tc>
          <w:tcPr>
            <w:tcW w:w="1250" w:type="dxa"/>
            <w:shd w:val="clear" w:color="auto" w:fill="auto"/>
          </w:tcPr>
          <w:p w:rsidR="009449AA" w:rsidRPr="00F75E4E" w:rsidRDefault="009449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45D83" w:rsidRPr="005860E3" w:rsidRDefault="00D45D83" w:rsidP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04295C" w:rsidTr="00F75E4E">
        <w:trPr>
          <w:trHeight w:val="841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1186B" w:rsidRPr="005860E3" w:rsidRDefault="00D1186B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04295C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8F4273" w:rsidRPr="008F4273" w:rsidRDefault="008F4273" w:rsidP="00F75E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C42112" w:rsidRDefault="00C42112">
      <w:pPr>
        <w:rPr>
          <w:lang w:val="en-GB"/>
        </w:rPr>
      </w:pPr>
      <w:r>
        <w:rPr>
          <w:lang w:val="en-GB"/>
        </w:rPr>
        <w:t>Overall Demonstration:</w:t>
      </w:r>
    </w:p>
    <w:p w:rsidR="00F75E4E" w:rsidRPr="00F75E4E" w:rsidRDefault="00F75E4E" w:rsidP="00F75E4E">
      <w:pPr>
        <w:pStyle w:val="Prrafodelista"/>
        <w:numPr>
          <w:ilvl w:val="0"/>
          <w:numId w:val="11"/>
        </w:numPr>
        <w:rPr>
          <w:lang w:val="en-US"/>
        </w:rPr>
      </w:pPr>
      <w:r w:rsidRPr="00F75E4E">
        <w:rPr>
          <w:lang w:val="en-US"/>
        </w:rPr>
        <w:t xml:space="preserve">Send Invoice Scenario https://site.cloudsocket.eu/demonstration-end-user-perspective-2 </w:t>
      </w:r>
    </w:p>
    <w:p w:rsidR="00F75E4E" w:rsidRPr="00F75E4E" w:rsidRDefault="00F75E4E" w:rsidP="00F75E4E">
      <w:pPr>
        <w:pStyle w:val="Prrafodelista"/>
        <w:numPr>
          <w:ilvl w:val="0"/>
          <w:numId w:val="11"/>
        </w:numPr>
        <w:rPr>
          <w:lang w:val="en-US"/>
        </w:rPr>
      </w:pPr>
      <w:r w:rsidRPr="00F75E4E">
        <w:rPr>
          <w:lang w:val="en-US"/>
        </w:rPr>
        <w:t xml:space="preserve">Christmas Cards Scenario https://site.cloudsocket.eu/demonstration-end-user-perspective </w:t>
      </w:r>
    </w:p>
    <w:p w:rsidR="008F4273" w:rsidRPr="00F75E4E" w:rsidRDefault="008F4273">
      <w:pPr>
        <w:rPr>
          <w:lang w:val="en-US"/>
        </w:rPr>
      </w:pPr>
    </w:p>
    <w:p w:rsidR="00DF5968" w:rsidRPr="00DF5968" w:rsidRDefault="00DF5968" w:rsidP="00DF5968">
      <w:pPr>
        <w:rPr>
          <w:lang w:val="en-GB"/>
        </w:rPr>
      </w:pPr>
      <w:r w:rsidRPr="00DF5968">
        <w:rPr>
          <w:lang w:val="en-GB"/>
        </w:rPr>
        <w:t>Webinars:</w:t>
      </w:r>
    </w:p>
    <w:p w:rsidR="00DF5968" w:rsidRPr="00DF5968" w:rsidRDefault="00DF5968" w:rsidP="00DF5968">
      <w:pPr>
        <w:pStyle w:val="Prrafodelista"/>
        <w:numPr>
          <w:ilvl w:val="0"/>
          <w:numId w:val="12"/>
        </w:numPr>
        <w:rPr>
          <w:lang w:val="en-GB"/>
        </w:rPr>
      </w:pPr>
      <w:r>
        <w:rPr>
          <w:lang w:val="en-GB"/>
        </w:rPr>
        <w:t>Workflow Engine:</w:t>
      </w:r>
      <w:r w:rsidRPr="00DF5968">
        <w:rPr>
          <w:lang w:val="en-GB"/>
        </w:rPr>
        <w:t xml:space="preserve"> https://youtu.be/2d4HT_QYU6w </w:t>
      </w:r>
    </w:p>
    <w:p w:rsidR="00DF5968" w:rsidRPr="00DF5968" w:rsidRDefault="00DF5968" w:rsidP="00DF5968">
      <w:pPr>
        <w:pStyle w:val="Prrafodelista"/>
        <w:numPr>
          <w:ilvl w:val="0"/>
          <w:numId w:val="12"/>
        </w:numPr>
        <w:rPr>
          <w:lang w:val="en-GB"/>
        </w:rPr>
      </w:pPr>
      <w:r>
        <w:rPr>
          <w:lang w:val="en-GB"/>
        </w:rPr>
        <w:lastRenderedPageBreak/>
        <w:t xml:space="preserve">Marketplace: </w:t>
      </w:r>
      <w:r w:rsidRPr="00DF5968">
        <w:rPr>
          <w:lang w:val="en-GB"/>
        </w:rPr>
        <w:t>https://youtu.be/Nist5A2PZR8</w:t>
      </w:r>
    </w:p>
    <w:p w:rsidR="00DF5968" w:rsidRDefault="00DF5968" w:rsidP="00DF5968">
      <w:pPr>
        <w:pStyle w:val="Prrafodelista"/>
        <w:numPr>
          <w:ilvl w:val="0"/>
          <w:numId w:val="12"/>
        </w:numPr>
        <w:rPr>
          <w:lang w:val="en-GB"/>
        </w:rPr>
      </w:pPr>
      <w:r w:rsidRPr="00DF5968">
        <w:rPr>
          <w:lang w:val="en-GB"/>
        </w:rPr>
        <w:t>….</w:t>
      </w:r>
    </w:p>
    <w:p w:rsidR="00DF5968" w:rsidRPr="00DF5968" w:rsidRDefault="00DF5968" w:rsidP="00DF5968">
      <w:pPr>
        <w:pStyle w:val="Prrafodelista"/>
        <w:rPr>
          <w:lang w:val="en-GB"/>
        </w:rPr>
      </w:pPr>
    </w:p>
    <w:p w:rsidR="00DF5968" w:rsidRPr="00DF5968" w:rsidRDefault="00DF5968" w:rsidP="00DF5968">
      <w:pPr>
        <w:rPr>
          <w:lang w:val="en-GB"/>
        </w:rPr>
      </w:pPr>
      <w:r w:rsidRPr="00DF5968">
        <w:rPr>
          <w:lang w:val="en-GB"/>
        </w:rPr>
        <w:t>Links</w:t>
      </w:r>
    </w:p>
    <w:p w:rsidR="00DF5968" w:rsidRPr="00DF5968" w:rsidRDefault="00DF5968" w:rsidP="00DF5968">
      <w:pPr>
        <w:pStyle w:val="Prrafodelista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Marketplace: </w:t>
      </w:r>
      <w:r w:rsidRPr="00DF5968">
        <w:rPr>
          <w:lang w:val="en-GB"/>
        </w:rPr>
        <w:t xml:space="preserve">http://csmarket.ymens.com </w:t>
      </w:r>
    </w:p>
    <w:p w:rsidR="00DF5968" w:rsidRPr="00DF5968" w:rsidRDefault="00DF5968" w:rsidP="00DF5968">
      <w:pPr>
        <w:pStyle w:val="Prrafodelista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Workflow Engine: </w:t>
      </w:r>
      <w:r w:rsidRPr="00DF5968">
        <w:rPr>
          <w:lang w:val="en-GB"/>
        </w:rPr>
        <w:t xml:space="preserve">http://134.60.64.132/activiti-explorer    </w:t>
      </w:r>
    </w:p>
    <w:p w:rsidR="00DF5968" w:rsidRPr="00DF5968" w:rsidRDefault="00DF5968" w:rsidP="00DF5968">
      <w:pPr>
        <w:pStyle w:val="Prrafodelista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InvoiceNinja: </w:t>
      </w:r>
      <w:r w:rsidRPr="00DF5968">
        <w:rPr>
          <w:lang w:val="en-GB"/>
        </w:rPr>
        <w:t>https://app.invoiceninja.com  (</w:t>
      </w:r>
      <w:r w:rsidRPr="00DF5968">
        <w:rPr>
          <w:lang w:val="en-GB"/>
        </w:rPr>
        <w:t>worldwide</w:t>
      </w:r>
      <w:r w:rsidRPr="00DF5968">
        <w:rPr>
          <w:lang w:val="en-GB"/>
        </w:rPr>
        <w:t>) &amp; http://134.60.64.87 (Europe)</w:t>
      </w:r>
    </w:p>
    <w:p w:rsidR="008F4273" w:rsidRPr="00DF5968" w:rsidRDefault="00DF5968" w:rsidP="00DF5968">
      <w:pPr>
        <w:pStyle w:val="Prrafodelista"/>
        <w:numPr>
          <w:ilvl w:val="0"/>
          <w:numId w:val="13"/>
        </w:numPr>
        <w:rPr>
          <w:lang w:val="fr-FR"/>
        </w:rPr>
      </w:pPr>
      <w:r>
        <w:rPr>
          <w:lang w:val="fr-FR"/>
        </w:rPr>
        <w:t xml:space="preserve">Ymens Microsoft Dynamics CRM : </w:t>
      </w:r>
      <w:r w:rsidRPr="00DF5968">
        <w:rPr>
          <w:lang w:val="fr-FR"/>
        </w:rPr>
        <w:t>https://demo2016.platformacloud.ro</w:t>
      </w:r>
    </w:p>
    <w:p w:rsidR="00D1186B" w:rsidRPr="00DF5968" w:rsidRDefault="00D1186B">
      <w:pPr>
        <w:rPr>
          <w:lang w:val="fr-FR"/>
        </w:rPr>
      </w:pPr>
    </w:p>
    <w:sectPr w:rsidR="00D1186B" w:rsidRPr="00DF5968" w:rsidSect="004E58CA">
      <w:headerReference w:type="default" r:id="rId9"/>
      <w:footerReference w:type="default" r:id="rId10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48" w:rsidRDefault="00FE0148">
      <w:r>
        <w:separator/>
      </w:r>
    </w:p>
  </w:endnote>
  <w:endnote w:type="continuationSeparator" w:id="0">
    <w:p w:rsidR="00FE0148" w:rsidRDefault="00F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3" w:rsidRPr="00295F09" w:rsidRDefault="00D45D83">
    <w:pPr>
      <w:pStyle w:val="Piedepgina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F5968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F5968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3" w:rsidRPr="00295F09" w:rsidRDefault="00A9182A">
    <w:pPr>
      <w:pStyle w:val="Piedepgina"/>
      <w:rPr>
        <w:lang w:val="de-DE"/>
      </w:rPr>
    </w:pPr>
    <w:r>
      <w:rPr>
        <w:lang w:val="de-DE"/>
      </w:rPr>
      <w:t xml:space="preserve">1_Digitalising Business </w:t>
    </w:r>
    <w:proofErr w:type="spellStart"/>
    <w:r>
      <w:rPr>
        <w:lang w:val="de-DE"/>
      </w:rPr>
      <w:t>Processes</w:t>
    </w:r>
    <w:proofErr w:type="spellEnd"/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rStyle w:val="Nmerodepgina"/>
      </w:rPr>
      <w:fldChar w:fldCharType="begin"/>
    </w:r>
    <w:r w:rsidR="00D45D83">
      <w:rPr>
        <w:rStyle w:val="Nmerodepgina"/>
      </w:rPr>
      <w:instrText xml:space="preserve"> PAGE </w:instrText>
    </w:r>
    <w:r w:rsidR="00D45D83">
      <w:rPr>
        <w:rStyle w:val="Nmerodepgina"/>
      </w:rPr>
      <w:fldChar w:fldCharType="separate"/>
    </w:r>
    <w:r w:rsidR="00DF5968">
      <w:rPr>
        <w:rStyle w:val="Nmerodepgina"/>
        <w:noProof/>
      </w:rPr>
      <w:t>2</w:t>
    </w:r>
    <w:r w:rsidR="00D45D83">
      <w:rPr>
        <w:rStyle w:val="Nmerodepgina"/>
      </w:rPr>
      <w:fldChar w:fldCharType="end"/>
    </w:r>
    <w:r w:rsidR="00D45D83">
      <w:rPr>
        <w:rStyle w:val="Nmerodepgina"/>
      </w:rPr>
      <w:t xml:space="preserve"> / </w:t>
    </w:r>
    <w:r w:rsidR="00D45D83">
      <w:rPr>
        <w:rStyle w:val="Nmerodepgina"/>
      </w:rPr>
      <w:fldChar w:fldCharType="begin"/>
    </w:r>
    <w:r w:rsidR="00D45D83">
      <w:rPr>
        <w:rStyle w:val="Nmerodepgina"/>
      </w:rPr>
      <w:instrText xml:space="preserve"> NUMPAGES </w:instrText>
    </w:r>
    <w:r w:rsidR="00D45D83">
      <w:rPr>
        <w:rStyle w:val="Nmerodepgina"/>
      </w:rPr>
      <w:fldChar w:fldCharType="separate"/>
    </w:r>
    <w:r w:rsidR="00DF5968">
      <w:rPr>
        <w:rStyle w:val="Nmerodepgina"/>
        <w:noProof/>
      </w:rPr>
      <w:t>3</w:t>
    </w:r>
    <w:r w:rsidR="00D45D83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48" w:rsidRDefault="00FE0148">
      <w:r>
        <w:separator/>
      </w:r>
    </w:p>
  </w:footnote>
  <w:footnote w:type="continuationSeparator" w:id="0">
    <w:p w:rsidR="00FE0148" w:rsidRDefault="00FE0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83" w:rsidRPr="00295F09" w:rsidRDefault="00D45D83">
    <w:pPr>
      <w:pStyle w:val="Encabezado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3290"/>
    <w:multiLevelType w:val="hybridMultilevel"/>
    <w:tmpl w:val="FC086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CC6"/>
    <w:multiLevelType w:val="hybridMultilevel"/>
    <w:tmpl w:val="06BCC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7110A"/>
    <w:multiLevelType w:val="hybridMultilevel"/>
    <w:tmpl w:val="A9A23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86212"/>
    <w:multiLevelType w:val="hybridMultilevel"/>
    <w:tmpl w:val="55CE1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9"/>
    <w:rsid w:val="00036DF5"/>
    <w:rsid w:val="0004295C"/>
    <w:rsid w:val="000525EC"/>
    <w:rsid w:val="00054E17"/>
    <w:rsid w:val="00085DA8"/>
    <w:rsid w:val="000A1B99"/>
    <w:rsid w:val="000D3701"/>
    <w:rsid w:val="000F261C"/>
    <w:rsid w:val="00106162"/>
    <w:rsid w:val="00106F86"/>
    <w:rsid w:val="001762C6"/>
    <w:rsid w:val="0018026C"/>
    <w:rsid w:val="001B59CF"/>
    <w:rsid w:val="00295F09"/>
    <w:rsid w:val="002A60E3"/>
    <w:rsid w:val="002F6378"/>
    <w:rsid w:val="00327A0E"/>
    <w:rsid w:val="0035423B"/>
    <w:rsid w:val="003A779B"/>
    <w:rsid w:val="00404A50"/>
    <w:rsid w:val="00435147"/>
    <w:rsid w:val="00444A66"/>
    <w:rsid w:val="004E58CA"/>
    <w:rsid w:val="00583918"/>
    <w:rsid w:val="005860E3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85925"/>
    <w:rsid w:val="008C14DF"/>
    <w:rsid w:val="008E615F"/>
    <w:rsid w:val="008F4273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F0513"/>
    <w:rsid w:val="00C0504A"/>
    <w:rsid w:val="00C42112"/>
    <w:rsid w:val="00D1186B"/>
    <w:rsid w:val="00D45D83"/>
    <w:rsid w:val="00D52E0C"/>
    <w:rsid w:val="00DA4048"/>
    <w:rsid w:val="00DA64F2"/>
    <w:rsid w:val="00DB7EF4"/>
    <w:rsid w:val="00DE0A86"/>
    <w:rsid w:val="00DF5968"/>
    <w:rsid w:val="00E32AD4"/>
    <w:rsid w:val="00E77225"/>
    <w:rsid w:val="00E96893"/>
    <w:rsid w:val="00F20A9F"/>
    <w:rsid w:val="00F75E4E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95F09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295F09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295F09"/>
  </w:style>
  <w:style w:type="character" w:styleId="Hipervnculo">
    <w:name w:val="Hyperlink"/>
    <w:basedOn w:val="Fuentedeprrafopredeter"/>
    <w:uiPriority w:val="99"/>
    <w:unhideWhenUsed/>
    <w:rsid w:val="008F427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2C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75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95F09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295F09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295F09"/>
  </w:style>
  <w:style w:type="character" w:styleId="Hipervnculo">
    <w:name w:val="Hyperlink"/>
    <w:basedOn w:val="Fuentedeprrafopredeter"/>
    <w:uiPriority w:val="99"/>
    <w:unhideWhenUsed/>
    <w:rsid w:val="008F427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1762C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75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9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1797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Unterrichtsplanung</vt:lpstr>
      <vt:lpstr>Unterrichtsplanung</vt:lpstr>
      <vt:lpstr>Unterrichtsplanung</vt:lpstr>
    </vt:vector>
  </TitlesOfParts>
  <Company>Studentenversion TU - Wien</Company>
  <LinksUpToDate>false</LinksUpToDate>
  <CharactersWithSpaces>2042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Iranzo Yuste, Joaquin</cp:lastModifiedBy>
  <cp:revision>6</cp:revision>
  <cp:lastPrinted>2016-08-12T10:45:00Z</cp:lastPrinted>
  <dcterms:created xsi:type="dcterms:W3CDTF">2017-11-24T16:18:00Z</dcterms:created>
  <dcterms:modified xsi:type="dcterms:W3CDTF">2017-12-01T14:57:00Z</dcterms:modified>
</cp:coreProperties>
</file>